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4BB2" w14:textId="7B0B53CF" w:rsidR="00C216F7" w:rsidRDefault="00C216F7" w:rsidP="00AF6D8C">
      <w:pPr>
        <w:shd w:val="clear" w:color="auto" w:fill="E692F6"/>
        <w:jc w:val="center"/>
        <w:rPr>
          <w:rFonts w:asciiTheme="minorHAnsi" w:hAnsiTheme="minorHAnsi"/>
          <w:b/>
          <w:sz w:val="28"/>
          <w:szCs w:val="28"/>
        </w:rPr>
      </w:pPr>
      <w:r w:rsidRPr="002A1C2A">
        <w:rPr>
          <w:rFonts w:asciiTheme="minorHAnsi" w:hAnsiTheme="minorHAnsi"/>
          <w:b/>
          <w:sz w:val="28"/>
          <w:szCs w:val="28"/>
        </w:rPr>
        <w:t xml:space="preserve">Cohort </w:t>
      </w:r>
      <w:r w:rsidR="00CD0F79">
        <w:rPr>
          <w:rFonts w:asciiTheme="minorHAnsi" w:hAnsiTheme="minorHAnsi"/>
          <w:b/>
          <w:sz w:val="28"/>
          <w:szCs w:val="28"/>
        </w:rPr>
        <w:t>4</w:t>
      </w:r>
      <w:r w:rsidRPr="002A1C2A">
        <w:rPr>
          <w:rFonts w:asciiTheme="minorHAnsi" w:hAnsiTheme="minorHAnsi"/>
          <w:b/>
          <w:sz w:val="28"/>
          <w:szCs w:val="28"/>
        </w:rPr>
        <w:t xml:space="preserve">-DBHDD Reg. </w:t>
      </w:r>
      <w:r w:rsidR="00CD0F79">
        <w:rPr>
          <w:rFonts w:asciiTheme="minorHAnsi" w:hAnsiTheme="minorHAnsi"/>
          <w:b/>
          <w:sz w:val="28"/>
          <w:szCs w:val="28"/>
        </w:rPr>
        <w:t>6</w:t>
      </w:r>
    </w:p>
    <w:p w14:paraId="7C9B22A8" w14:textId="6723E3C5" w:rsidR="0098260B" w:rsidRPr="0098260B" w:rsidRDefault="0098260B" w:rsidP="00AF6D8C">
      <w:pPr>
        <w:shd w:val="clear" w:color="auto" w:fill="E692F6"/>
        <w:jc w:val="center"/>
        <w:rPr>
          <w:rFonts w:asciiTheme="minorHAnsi" w:hAnsiTheme="minorHAnsi"/>
          <w:bCs/>
          <w:sz w:val="24"/>
          <w:szCs w:val="24"/>
        </w:rPr>
      </w:pPr>
      <w:r w:rsidRPr="0098260B">
        <w:rPr>
          <w:rFonts w:asciiTheme="minorHAnsi" w:hAnsiTheme="minorHAnsi"/>
          <w:bCs/>
          <w:sz w:val="24"/>
          <w:szCs w:val="24"/>
        </w:rPr>
        <w:t>Location &amp; Date TBD</w:t>
      </w:r>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0" w:name="_Hlk29980752"/>
    </w:p>
    <w:p w14:paraId="1868F3CA" w14:textId="53240849" w:rsidR="00C46985" w:rsidRPr="00C216F7" w:rsidRDefault="00E1405F" w:rsidP="00E1405F">
      <w:pPr>
        <w:jc w:val="center"/>
        <w:rPr>
          <w:b/>
          <w:color w:val="FFC000" w:themeColor="accent4"/>
          <w:sz w:val="28"/>
          <w:szCs w:val="28"/>
        </w:rPr>
        <w:sectPr w:rsidR="00C46985" w:rsidRPr="00C216F7" w:rsidSect="00C216F7">
          <w:footerReference w:type="default" r:id="rId8"/>
          <w:pgSz w:w="12240" w:h="15840"/>
          <w:pgMar w:top="432" w:right="720" w:bottom="432" w:left="720" w:header="1440" w:footer="979" w:gutter="0"/>
          <w:cols w:space="720"/>
          <w:docGrid w:linePitch="272"/>
        </w:sectPr>
      </w:pPr>
      <w:r w:rsidRPr="00C216F7">
        <w:rPr>
          <w:b/>
          <w:color w:val="FFC000" w:themeColor="accent4"/>
          <w:sz w:val="28"/>
          <w:szCs w:val="28"/>
        </w:rPr>
        <w:t>Notice of Opportunity to Apply for Training to Achieve Credential</w:t>
      </w:r>
      <w:bookmarkStart w:id="1" w:name="_GoBack"/>
      <w:bookmarkEnd w:id="1"/>
      <w:r w:rsidRPr="00C216F7">
        <w:rPr>
          <w:b/>
          <w:color w:val="FFC000" w:themeColor="accent4"/>
          <w:sz w:val="28"/>
          <w:szCs w:val="28"/>
        </w:rPr>
        <w:t>s in Delivering Discovery and Customized Supported Employment.</w:t>
      </w:r>
    </w:p>
    <w:bookmarkEnd w:id="0"/>
    <w:p w14:paraId="7A82DAC8" w14:textId="0910173B" w:rsidR="00862A65" w:rsidRPr="00E1405F" w:rsidRDefault="00862A65" w:rsidP="0085626E">
      <w:pPr>
        <w:jc w:val="center"/>
        <w:rPr>
          <w:rFonts w:asciiTheme="minorHAnsi" w:hAnsiTheme="minorHAnsi"/>
          <w:sz w:val="22"/>
          <w:szCs w:val="22"/>
        </w:rPr>
      </w:pPr>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748FFA11" w:rsidR="00862A65" w:rsidRPr="00C216F7"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Five (5) days of classroom instruction to support implementation of Discovery and Customized Supported Employment. The 40-hour course with an emphasis in Customized Employment has been approved by ACRE for a National Basic Certificate of Achievement in Community Employment. </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1B76F377"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CD0F79">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C57C2EE"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2B564F4B"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4AD476D3"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C216F7">
        <w:rPr>
          <w:rFonts w:asciiTheme="minorHAnsi" w:hAnsiTheme="minorHAnsi"/>
          <w:color w:val="2F5496" w:themeColor="accent5" w:themeShade="BF"/>
          <w:sz w:val="22"/>
          <w:szCs w:val="22"/>
        </w:rPr>
        <w:t>.</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53DF59B6"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lastRenderedPageBreak/>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2"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3"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2"/>
      <w:bookmarkEnd w:id="3"/>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4"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5"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5"/>
    </w:p>
    <w:p w14:paraId="2467B74C" w14:textId="1EB7447E"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6"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6"/>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7"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8"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9"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9"/>
    </w:p>
    <w:p w14:paraId="3B733587" w14:textId="77777777" w:rsidR="003C660E" w:rsidRDefault="003C660E" w:rsidP="00E94E44">
      <w:pPr>
        <w:spacing w:after="55"/>
        <w:jc w:val="center"/>
        <w:rPr>
          <w:rFonts w:asciiTheme="minorHAnsi" w:hAnsiTheme="minorHAnsi"/>
          <w:b/>
          <w:bCs/>
          <w:smallCaps/>
          <w:sz w:val="22"/>
          <w:szCs w:val="22"/>
        </w:rPr>
      </w:pPr>
    </w:p>
    <w:p w14:paraId="7A14C17E" w14:textId="77777777" w:rsidR="00AF6D8C" w:rsidRDefault="00AF6D8C" w:rsidP="00AF6D8C">
      <w:pPr>
        <w:spacing w:after="55"/>
        <w:rPr>
          <w:rFonts w:asciiTheme="minorHAnsi" w:hAnsiTheme="minorHAnsi"/>
          <w:b/>
          <w:bCs/>
          <w:smallCaps/>
          <w:sz w:val="22"/>
          <w:szCs w:val="22"/>
        </w:rPr>
      </w:pPr>
      <w:r>
        <w:rPr>
          <w:rFonts w:asciiTheme="minorHAnsi" w:hAnsiTheme="minorHAnsi"/>
          <w:b/>
          <w:bCs/>
          <w:smallCaps/>
          <w:sz w:val="22"/>
          <w:szCs w:val="22"/>
        </w:rPr>
        <w:t xml:space="preserve">If applicable, Please list any other names the supported employment program may be known by: </w:t>
      </w:r>
    </w:p>
    <w:p w14:paraId="0950074C" w14:textId="77777777" w:rsidR="00AF6D8C" w:rsidRDefault="00AF6D8C" w:rsidP="00AF6D8C">
      <w:pPr>
        <w:spacing w:after="55"/>
        <w:rPr>
          <w:rFonts w:asciiTheme="minorHAnsi" w:hAnsiTheme="minorHAnsi"/>
          <w:b/>
          <w:bCs/>
          <w:smallCaps/>
          <w:sz w:val="22"/>
          <w:szCs w:val="22"/>
        </w:rPr>
      </w:pPr>
      <w:r>
        <w:rPr>
          <w:rFonts w:asciiTheme="minorHAnsi" w:hAnsiTheme="minorHAnsi"/>
          <w:b/>
          <w:bCs/>
          <w:smallCaps/>
          <w:color w:val="0000FF"/>
          <w:sz w:val="22"/>
          <w:szCs w:val="22"/>
        </w:rPr>
        <w:fldChar w:fldCharType="begin">
          <w:ffData>
            <w:name w:val="Text5"/>
            <w:enabled/>
            <w:calcOnExit w:val="0"/>
            <w:textInput/>
          </w:ffData>
        </w:fldChar>
      </w:r>
      <w:r>
        <w:rPr>
          <w:rFonts w:asciiTheme="minorHAnsi" w:hAnsiTheme="minorHAnsi"/>
          <w:b/>
          <w:bCs/>
          <w:smallCaps/>
          <w:color w:val="0000FF"/>
          <w:sz w:val="22"/>
          <w:szCs w:val="22"/>
        </w:rPr>
        <w:instrText xml:space="preserve"> FORMTEXT </w:instrText>
      </w:r>
      <w:r>
        <w:rPr>
          <w:rFonts w:asciiTheme="minorHAnsi" w:hAnsiTheme="minorHAnsi"/>
          <w:b/>
          <w:bCs/>
          <w:smallCaps/>
          <w:color w:val="0000FF"/>
          <w:sz w:val="22"/>
          <w:szCs w:val="22"/>
        </w:rPr>
      </w:r>
      <w:r>
        <w:rPr>
          <w:rFonts w:asciiTheme="minorHAnsi" w:hAnsiTheme="minorHAnsi"/>
          <w:b/>
          <w:bCs/>
          <w:smallCaps/>
          <w:color w:val="0000FF"/>
          <w:sz w:val="22"/>
          <w:szCs w:val="22"/>
        </w:rPr>
        <w:fldChar w:fldCharType="separate"/>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color w:val="0000FF"/>
          <w:sz w:val="22"/>
          <w:szCs w:val="22"/>
        </w:rPr>
        <w:fldChar w:fldCharType="end"/>
      </w: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3FE9ECB3" w:rsidR="00E94E44" w:rsidRPr="00E50C68"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456A6AC7" w14:textId="77777777" w:rsidR="00AF6D8C" w:rsidRDefault="00AF6D8C" w:rsidP="00AF6D8C">
      <w:pPr>
        <w:spacing w:before="100"/>
        <w:rPr>
          <w:rFonts w:asciiTheme="minorHAnsi" w:hAnsiTheme="minorHAnsi"/>
          <w:bCs/>
          <w:sz w:val="22"/>
          <w:szCs w:val="22"/>
        </w:rPr>
      </w:pPr>
      <w:r>
        <w:rPr>
          <w:rFonts w:asciiTheme="minorHAnsi" w:hAnsiTheme="minorHAnsi"/>
          <w:bCs/>
          <w:sz w:val="22"/>
          <w:szCs w:val="22"/>
          <w:u w:val="single"/>
        </w:rPr>
        <w:t>For each attendee</w:t>
      </w:r>
      <w:r>
        <w:rPr>
          <w:rFonts w:asciiTheme="minorHAnsi" w:hAnsiTheme="minorHAnsi"/>
          <w:bCs/>
          <w:sz w:val="22"/>
          <w:szCs w:val="22"/>
        </w:rPr>
        <w:t>, please provide</w:t>
      </w:r>
      <w:r>
        <w:rPr>
          <w:rFonts w:asciiTheme="minorHAnsi" w:hAnsiTheme="minorHAnsi"/>
          <w:b/>
          <w:sz w:val="22"/>
          <w:szCs w:val="22"/>
        </w:rPr>
        <w:t xml:space="preserve"> </w:t>
      </w:r>
      <w:r>
        <w:rPr>
          <w:rFonts w:asciiTheme="minorHAnsi" w:hAnsiTheme="minorHAnsi"/>
          <w:b/>
          <w:sz w:val="22"/>
          <w:szCs w:val="22"/>
          <w:u w:val="single"/>
        </w:rPr>
        <w:t>their</w:t>
      </w:r>
      <w:r>
        <w:rPr>
          <w:rFonts w:asciiTheme="minorHAnsi" w:hAnsiTheme="minorHAnsi"/>
          <w:bCs/>
          <w:sz w:val="22"/>
          <w:szCs w:val="22"/>
          <w:u w:val="single"/>
        </w:rPr>
        <w:t xml:space="preserve"> </w:t>
      </w:r>
      <w:r>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Pr>
          <w:rFonts w:asciiTheme="minorHAnsi" w:hAnsiTheme="minorHAnsi"/>
          <w:b/>
          <w:sz w:val="22"/>
          <w:szCs w:val="22"/>
          <w:u w:val="single"/>
        </w:rPr>
        <w:t>providing employment services.</w:t>
      </w:r>
      <w:r>
        <w:rPr>
          <w:rFonts w:asciiTheme="minorHAnsi" w:hAnsiTheme="minorHAnsi"/>
          <w:bCs/>
          <w:sz w:val="22"/>
          <w:szCs w:val="22"/>
        </w:rPr>
        <w:t xml:space="preserve"> Any additional direct support staff will be considered based on capacity. </w:t>
      </w:r>
      <w:r>
        <w:rPr>
          <w:rFonts w:asciiTheme="minorHAnsi" w:hAnsiTheme="minorHAnsi"/>
          <w:bCs/>
          <w:color w:val="FF0000"/>
          <w:sz w:val="22"/>
          <w:szCs w:val="22"/>
        </w:rPr>
        <w:t xml:space="preserve">Note: only those without previous ACRE training with an emphasis in Customized Employment will be considered. </w:t>
      </w:r>
    </w:p>
    <w:p w14:paraId="1CD0112A" w14:textId="77777777" w:rsidR="00AF6D8C" w:rsidRDefault="00AF6D8C" w:rsidP="00220D35">
      <w:pPr>
        <w:spacing w:before="100"/>
        <w:rPr>
          <w:rFonts w:asciiTheme="minorHAnsi" w:hAnsiTheme="minorHAnsi"/>
          <w:bCs/>
          <w:sz w:val="22"/>
          <w:szCs w:val="22"/>
        </w:rPr>
      </w:pPr>
    </w:p>
    <w:p w14:paraId="23D14697" w14:textId="2EA220C6" w:rsidR="00E94E44"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0"/>
    </w:p>
    <w:p w14:paraId="129B2391" w14:textId="77777777" w:rsidR="00C31381" w:rsidRPr="00E1405F"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1"/>
            <w:enabled/>
            <w:calcOnExit w:val="0"/>
            <w:textInput/>
          </w:ffData>
        </w:fldChar>
      </w:r>
      <w:bookmarkStart w:id="12" w:name="Text51"/>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2"/>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0DC18F1B" w14:textId="559BAADE" w:rsidR="00220D35" w:rsidRDefault="00220D35" w:rsidP="00E94E44">
      <w:pPr>
        <w:rPr>
          <w:rFonts w:asciiTheme="minorHAnsi" w:hAnsiTheme="minorHAnsi"/>
          <w:sz w:val="22"/>
          <w:szCs w:val="22"/>
        </w:rPr>
      </w:pPr>
    </w:p>
    <w:p w14:paraId="4FF6D8FE" w14:textId="4BEF7A04" w:rsidR="00220D35" w:rsidRDefault="00220D35" w:rsidP="00E94E44">
      <w:pPr>
        <w:rPr>
          <w:rFonts w:asciiTheme="minorHAnsi" w:hAnsiTheme="minorHAnsi"/>
          <w:sz w:val="22"/>
          <w:szCs w:val="22"/>
        </w:rPr>
      </w:pPr>
    </w:p>
    <w:p w14:paraId="3D28BAF4" w14:textId="5E98F1C3" w:rsidR="00220D35" w:rsidRDefault="00220D35" w:rsidP="00E94E44">
      <w:pPr>
        <w:rPr>
          <w:rFonts w:asciiTheme="minorHAnsi" w:hAnsiTheme="minorHAnsi"/>
          <w:sz w:val="22"/>
          <w:szCs w:val="22"/>
        </w:rPr>
      </w:pPr>
    </w:p>
    <w:p w14:paraId="2C7FBEDA" w14:textId="3BC97215" w:rsidR="00220D35" w:rsidRDefault="00220D35" w:rsidP="00E94E44">
      <w:pPr>
        <w:rPr>
          <w:rFonts w:asciiTheme="minorHAnsi" w:hAnsiTheme="minorHAnsi"/>
          <w:sz w:val="22"/>
          <w:szCs w:val="22"/>
        </w:rPr>
      </w:pPr>
    </w:p>
    <w:p w14:paraId="3A2A7502" w14:textId="77777777" w:rsidR="00220D35" w:rsidRPr="00E1405F"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3"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3"/>
    </w:p>
    <w:p w14:paraId="0D8C9707" w14:textId="77777777" w:rsidR="00E94E44" w:rsidRPr="00E1405F" w:rsidRDefault="00E94E44" w:rsidP="00E94E44">
      <w:pPr>
        <w:spacing w:after="55"/>
        <w:rPr>
          <w:rFonts w:asciiTheme="minorHAnsi" w:hAnsiTheme="minorHAnsi"/>
          <w:sz w:val="22"/>
          <w:szCs w:val="22"/>
        </w:rPr>
      </w:pPr>
    </w:p>
    <w:p w14:paraId="658A9685" w14:textId="3C762235" w:rsidR="00F50A98" w:rsidRDefault="00F50A98" w:rsidP="00E94E44">
      <w:pPr>
        <w:ind w:left="720" w:hanging="720"/>
        <w:rPr>
          <w:rFonts w:asciiTheme="minorHAnsi" w:hAnsiTheme="minorHAnsi"/>
          <w:bCs/>
          <w:smallCaps/>
          <w:sz w:val="22"/>
          <w:szCs w:val="22"/>
        </w:rPr>
      </w:pPr>
    </w:p>
    <w:p w14:paraId="1B0B25FF" w14:textId="15BD59D7" w:rsidR="00C216F7" w:rsidRDefault="00C216F7" w:rsidP="00E94E44">
      <w:pPr>
        <w:ind w:left="720" w:hanging="720"/>
        <w:rPr>
          <w:rFonts w:asciiTheme="minorHAnsi" w:hAnsiTheme="minorHAnsi"/>
          <w:bCs/>
          <w:smallCaps/>
          <w:sz w:val="22"/>
          <w:szCs w:val="22"/>
        </w:rPr>
      </w:pPr>
    </w:p>
    <w:p w14:paraId="1C2C5B68" w14:textId="6CBB7780" w:rsidR="00C216F7" w:rsidRDefault="00C216F7" w:rsidP="00E94E44">
      <w:pPr>
        <w:ind w:left="720" w:hanging="720"/>
        <w:rPr>
          <w:rFonts w:asciiTheme="minorHAnsi" w:hAnsiTheme="minorHAnsi"/>
          <w:bCs/>
          <w:smallCaps/>
          <w:sz w:val="22"/>
          <w:szCs w:val="22"/>
        </w:rPr>
      </w:pPr>
    </w:p>
    <w:p w14:paraId="6EE457B8" w14:textId="49060F2D" w:rsidR="00C216F7" w:rsidRDefault="00C216F7" w:rsidP="00E94E44">
      <w:pPr>
        <w:ind w:left="720" w:hanging="720"/>
        <w:rPr>
          <w:rFonts w:asciiTheme="minorHAnsi" w:hAnsiTheme="minorHAnsi"/>
          <w:bCs/>
          <w:smallCaps/>
          <w:sz w:val="22"/>
          <w:szCs w:val="22"/>
        </w:rPr>
      </w:pPr>
    </w:p>
    <w:p w14:paraId="08810964" w14:textId="59520536" w:rsidR="00C216F7" w:rsidRDefault="00C216F7" w:rsidP="00E94E44">
      <w:pPr>
        <w:ind w:left="720" w:hanging="720"/>
        <w:rPr>
          <w:rFonts w:asciiTheme="minorHAnsi" w:hAnsiTheme="minorHAnsi"/>
          <w:bCs/>
          <w:smallCaps/>
          <w:sz w:val="22"/>
          <w:szCs w:val="22"/>
        </w:rPr>
      </w:pPr>
    </w:p>
    <w:p w14:paraId="3A9ED830" w14:textId="7AD86EAB" w:rsidR="00C216F7" w:rsidRDefault="00C216F7" w:rsidP="00E94E44">
      <w:pPr>
        <w:ind w:left="720" w:hanging="720"/>
        <w:rPr>
          <w:rFonts w:asciiTheme="minorHAnsi" w:hAnsiTheme="minorHAnsi"/>
          <w:bCs/>
          <w:smallCaps/>
          <w:sz w:val="22"/>
          <w:szCs w:val="22"/>
        </w:rPr>
      </w:pPr>
    </w:p>
    <w:p w14:paraId="5C1A9007" w14:textId="02144AC4" w:rsidR="00C216F7" w:rsidRDefault="00C216F7" w:rsidP="00E94E44">
      <w:pPr>
        <w:ind w:left="720" w:hanging="720"/>
        <w:rPr>
          <w:rFonts w:asciiTheme="minorHAnsi" w:hAnsiTheme="minorHAnsi"/>
          <w:bCs/>
          <w:smallCaps/>
          <w:sz w:val="22"/>
          <w:szCs w:val="22"/>
        </w:rPr>
      </w:pPr>
    </w:p>
    <w:p w14:paraId="5F84FC18" w14:textId="77777777" w:rsidR="00C216F7" w:rsidRPr="00E1405F" w:rsidRDefault="00C216F7"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4" w:name="Check1"/>
      <w:r w:rsidR="00C31381"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4"/>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5" w:name="Check3"/>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6" w:name="Check4"/>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7" w:name="Check5"/>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8" w:name="Check6"/>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9" w:name="Check7"/>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20" w:name="Check8"/>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1" w:name="Check9"/>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2" w:name="Check10"/>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3" w:name="Check12"/>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4" w:name="Check13"/>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5" w:name="Check14"/>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6" w:name="Check15"/>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7" w:name="Check16"/>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8" w:name="Check17"/>
      <w:r w:rsidRPr="00E1405F">
        <w:rPr>
          <w:rFonts w:asciiTheme="minorHAnsi" w:hAnsiTheme="minorHAnsi"/>
          <w:sz w:val="22"/>
          <w:szCs w:val="22"/>
        </w:rPr>
        <w:instrText xml:space="preserve"> FORMCHECKBOX </w:instrText>
      </w:r>
      <w:r w:rsidR="00BC6961">
        <w:rPr>
          <w:rFonts w:asciiTheme="minorHAnsi" w:hAnsiTheme="minorHAnsi"/>
          <w:sz w:val="22"/>
          <w:szCs w:val="22"/>
        </w:rPr>
      </w:r>
      <w:r w:rsidR="00BC6961">
        <w:rPr>
          <w:rFonts w:asciiTheme="minorHAnsi" w:hAnsiTheme="minorHAnsi"/>
          <w:sz w:val="22"/>
          <w:szCs w:val="22"/>
        </w:rPr>
        <w:fldChar w:fldCharType="separate"/>
      </w:r>
      <w:r w:rsidRPr="00E1405F">
        <w:rPr>
          <w:rFonts w:asciiTheme="minorHAnsi" w:hAnsiTheme="minorHAnsi"/>
          <w:sz w:val="22"/>
          <w:szCs w:val="22"/>
        </w:rPr>
        <w:fldChar w:fldCharType="end"/>
      </w:r>
      <w:bookmarkEnd w:id="28"/>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0BC81C16" w:rsidR="00220D35" w:rsidRDefault="00220D35" w:rsidP="00220D35">
      <w:pPr>
        <w:ind w:left="720" w:hanging="720"/>
        <w:rPr>
          <w:rFonts w:asciiTheme="minorHAnsi" w:hAnsiTheme="minorHAnsi"/>
          <w:sz w:val="22"/>
          <w:szCs w:val="22"/>
        </w:rPr>
      </w:pPr>
    </w:p>
    <w:p w14:paraId="16EA29AC" w14:textId="304D6F5F" w:rsidR="00C216F7" w:rsidRDefault="00C216F7" w:rsidP="00220D35">
      <w:pPr>
        <w:ind w:left="720" w:hanging="720"/>
        <w:rPr>
          <w:rFonts w:asciiTheme="minorHAnsi" w:hAnsiTheme="minorHAnsi"/>
          <w:sz w:val="22"/>
          <w:szCs w:val="22"/>
        </w:rPr>
      </w:pPr>
    </w:p>
    <w:p w14:paraId="25B658B8" w14:textId="5F765013" w:rsidR="00C216F7" w:rsidRDefault="00C216F7" w:rsidP="00220D35">
      <w:pPr>
        <w:ind w:left="720" w:hanging="720"/>
        <w:rPr>
          <w:rFonts w:asciiTheme="minorHAnsi" w:hAnsiTheme="minorHAnsi"/>
          <w:sz w:val="22"/>
          <w:szCs w:val="22"/>
        </w:rPr>
      </w:pPr>
    </w:p>
    <w:p w14:paraId="58EAE2CF" w14:textId="460C0D58" w:rsidR="00C216F7" w:rsidRDefault="00C216F7" w:rsidP="00220D35">
      <w:pPr>
        <w:ind w:left="720" w:hanging="720"/>
        <w:rPr>
          <w:rFonts w:asciiTheme="minorHAnsi" w:hAnsiTheme="minorHAnsi"/>
          <w:sz w:val="22"/>
          <w:szCs w:val="22"/>
        </w:rPr>
      </w:pPr>
    </w:p>
    <w:p w14:paraId="5768C342" w14:textId="69179018" w:rsidR="00C216F7" w:rsidRDefault="00C216F7" w:rsidP="00220D35">
      <w:pPr>
        <w:ind w:left="720" w:hanging="720"/>
        <w:rPr>
          <w:rFonts w:asciiTheme="minorHAnsi" w:hAnsiTheme="minorHAnsi"/>
          <w:sz w:val="22"/>
          <w:szCs w:val="22"/>
        </w:rPr>
      </w:pPr>
    </w:p>
    <w:p w14:paraId="47FFCFBF" w14:textId="3BD1A2DC" w:rsidR="00C216F7" w:rsidRDefault="00C216F7" w:rsidP="00220D35">
      <w:pPr>
        <w:ind w:left="720" w:hanging="720"/>
        <w:rPr>
          <w:rFonts w:asciiTheme="minorHAnsi" w:hAnsiTheme="minorHAnsi"/>
          <w:sz w:val="22"/>
          <w:szCs w:val="22"/>
        </w:rPr>
      </w:pPr>
    </w:p>
    <w:p w14:paraId="7461AEE8" w14:textId="77777777" w:rsidR="00C216F7" w:rsidRDefault="00C216F7"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CEE87E6" w14:textId="19103F51"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9"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9"/>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627FE414" w:rsidR="00C96D86" w:rsidRDefault="00C96D86" w:rsidP="008604A6">
      <w:pPr>
        <w:jc w:val="center"/>
        <w:rPr>
          <w:rFonts w:asciiTheme="minorHAnsi" w:hAnsiTheme="minorHAnsi"/>
          <w:bCs/>
          <w:sz w:val="22"/>
          <w:szCs w:val="22"/>
        </w:rPr>
      </w:pPr>
    </w:p>
    <w:p w14:paraId="5F5DBF63" w14:textId="2A8416ED" w:rsidR="00C216F7" w:rsidRDefault="00C216F7" w:rsidP="008604A6">
      <w:pPr>
        <w:jc w:val="center"/>
        <w:rPr>
          <w:rFonts w:asciiTheme="minorHAnsi" w:hAnsiTheme="minorHAnsi"/>
          <w:bCs/>
          <w:sz w:val="22"/>
          <w:szCs w:val="22"/>
        </w:rPr>
      </w:pPr>
    </w:p>
    <w:p w14:paraId="28705366" w14:textId="783C2699" w:rsidR="00C216F7" w:rsidRDefault="00C216F7" w:rsidP="008604A6">
      <w:pPr>
        <w:jc w:val="center"/>
        <w:rPr>
          <w:rFonts w:asciiTheme="minorHAnsi" w:hAnsiTheme="minorHAnsi"/>
          <w:bCs/>
          <w:sz w:val="22"/>
          <w:szCs w:val="22"/>
        </w:rPr>
      </w:pPr>
    </w:p>
    <w:p w14:paraId="36A1C4C7" w14:textId="77777777" w:rsidR="00C216F7" w:rsidRPr="00E1405F" w:rsidRDefault="00C216F7"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7777777" w:rsidR="00C96D86" w:rsidRPr="00E1405F" w:rsidRDefault="00C96D86"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C216F7">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proofErr w:type="spellStart"/>
      <w:r w:rsidRPr="00E1405F">
        <w:rPr>
          <w:rFonts w:asciiTheme="minorHAnsi" w:hAnsiTheme="minorHAnsi"/>
          <w:bCs/>
          <w:sz w:val="22"/>
          <w:szCs w:val="22"/>
        </w:rPr>
        <w:t>I’sha</w:t>
      </w:r>
      <w:proofErr w:type="spellEnd"/>
      <w:r w:rsidRPr="00E1405F">
        <w:rPr>
          <w:rFonts w:asciiTheme="minorHAnsi" w:hAnsiTheme="minorHAnsi"/>
          <w:bCs/>
          <w:sz w:val="22"/>
          <w:szCs w:val="22"/>
        </w:rPr>
        <w:t xml:space="preserve">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C216F7">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4D89" w14:textId="77777777" w:rsidR="00BC6961" w:rsidRDefault="00BC6961">
      <w:r>
        <w:separator/>
      </w:r>
    </w:p>
  </w:endnote>
  <w:endnote w:type="continuationSeparator" w:id="0">
    <w:p w14:paraId="34E83528" w14:textId="77777777" w:rsidR="00BC6961" w:rsidRDefault="00B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D685" w14:textId="77777777" w:rsidR="00BC6961" w:rsidRDefault="00BC6961">
      <w:r>
        <w:separator/>
      </w:r>
    </w:p>
  </w:footnote>
  <w:footnote w:type="continuationSeparator" w:id="0">
    <w:p w14:paraId="09071EF7" w14:textId="77777777" w:rsidR="00BC6961" w:rsidRDefault="00BC6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264AF"/>
    <w:rsid w:val="0004743D"/>
    <w:rsid w:val="00057A52"/>
    <w:rsid w:val="0006740F"/>
    <w:rsid w:val="00094269"/>
    <w:rsid w:val="000A2171"/>
    <w:rsid w:val="000E3CF0"/>
    <w:rsid w:val="00120572"/>
    <w:rsid w:val="0013538F"/>
    <w:rsid w:val="00135BF1"/>
    <w:rsid w:val="001719D0"/>
    <w:rsid w:val="00176E6B"/>
    <w:rsid w:val="001C4E26"/>
    <w:rsid w:val="001F122F"/>
    <w:rsid w:val="00201454"/>
    <w:rsid w:val="00201D4A"/>
    <w:rsid w:val="00220D35"/>
    <w:rsid w:val="0029454E"/>
    <w:rsid w:val="002D1063"/>
    <w:rsid w:val="002D133F"/>
    <w:rsid w:val="002E4B08"/>
    <w:rsid w:val="002F74A0"/>
    <w:rsid w:val="002F7B50"/>
    <w:rsid w:val="003138A6"/>
    <w:rsid w:val="00316133"/>
    <w:rsid w:val="003227C0"/>
    <w:rsid w:val="003A0055"/>
    <w:rsid w:val="003C660E"/>
    <w:rsid w:val="00432B07"/>
    <w:rsid w:val="00441DAC"/>
    <w:rsid w:val="0044220C"/>
    <w:rsid w:val="00451D4C"/>
    <w:rsid w:val="004638F4"/>
    <w:rsid w:val="0049125A"/>
    <w:rsid w:val="004D7E84"/>
    <w:rsid w:val="005051C2"/>
    <w:rsid w:val="005117DC"/>
    <w:rsid w:val="00513E2C"/>
    <w:rsid w:val="005B5F49"/>
    <w:rsid w:val="00615EED"/>
    <w:rsid w:val="0062066C"/>
    <w:rsid w:val="00642C70"/>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453EB"/>
    <w:rsid w:val="00847392"/>
    <w:rsid w:val="00855061"/>
    <w:rsid w:val="0085626E"/>
    <w:rsid w:val="008604A6"/>
    <w:rsid w:val="00862A65"/>
    <w:rsid w:val="0087386B"/>
    <w:rsid w:val="00896623"/>
    <w:rsid w:val="008D1CC6"/>
    <w:rsid w:val="00917870"/>
    <w:rsid w:val="0098260B"/>
    <w:rsid w:val="009B04B0"/>
    <w:rsid w:val="009B311B"/>
    <w:rsid w:val="009D2CFE"/>
    <w:rsid w:val="00A82041"/>
    <w:rsid w:val="00A95DFA"/>
    <w:rsid w:val="00AE1484"/>
    <w:rsid w:val="00AF6D8C"/>
    <w:rsid w:val="00AF732F"/>
    <w:rsid w:val="00B13A3B"/>
    <w:rsid w:val="00B15046"/>
    <w:rsid w:val="00B561F9"/>
    <w:rsid w:val="00B91F6D"/>
    <w:rsid w:val="00BC6961"/>
    <w:rsid w:val="00BD263C"/>
    <w:rsid w:val="00BD31C5"/>
    <w:rsid w:val="00BD67A5"/>
    <w:rsid w:val="00BF1983"/>
    <w:rsid w:val="00C068DE"/>
    <w:rsid w:val="00C216F7"/>
    <w:rsid w:val="00C31381"/>
    <w:rsid w:val="00C46985"/>
    <w:rsid w:val="00C75698"/>
    <w:rsid w:val="00C96D86"/>
    <w:rsid w:val="00CC4068"/>
    <w:rsid w:val="00CD0F79"/>
    <w:rsid w:val="00D506ED"/>
    <w:rsid w:val="00D67FCB"/>
    <w:rsid w:val="00D875BB"/>
    <w:rsid w:val="00DA79DC"/>
    <w:rsid w:val="00E05119"/>
    <w:rsid w:val="00E1405F"/>
    <w:rsid w:val="00E40985"/>
    <w:rsid w:val="00E4425F"/>
    <w:rsid w:val="00E50C68"/>
    <w:rsid w:val="00E94E44"/>
    <w:rsid w:val="00EC5E6D"/>
    <w:rsid w:val="00EE221F"/>
    <w:rsid w:val="00EF4375"/>
    <w:rsid w:val="00F20D7C"/>
    <w:rsid w:val="00F21633"/>
    <w:rsid w:val="00F50A98"/>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19666">
      <w:bodyDiv w:val="1"/>
      <w:marLeft w:val="0"/>
      <w:marRight w:val="0"/>
      <w:marTop w:val="0"/>
      <w:marBottom w:val="0"/>
      <w:divBdr>
        <w:top w:val="none" w:sz="0" w:space="0" w:color="auto"/>
        <w:left w:val="none" w:sz="0" w:space="0" w:color="auto"/>
        <w:bottom w:val="none" w:sz="0" w:space="0" w:color="auto"/>
        <w:right w:val="none" w:sz="0" w:space="0" w:color="auto"/>
      </w:divBdr>
    </w:div>
    <w:div w:id="20768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CB0C-7BA1-4452-9D5F-2F9BB04C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5715</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2</cp:revision>
  <cp:lastPrinted>2011-10-31T15:15:00Z</cp:lastPrinted>
  <dcterms:created xsi:type="dcterms:W3CDTF">2020-04-14T14:03:00Z</dcterms:created>
  <dcterms:modified xsi:type="dcterms:W3CDTF">2020-04-14T14:03:00Z</dcterms:modified>
</cp:coreProperties>
</file>